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超声探头更换</w:t>
      </w:r>
      <w:r>
        <w:rPr>
          <w:rFonts w:ascii="Adobe 宋体 Std L" w:hAnsi="Adobe 宋体 Std L" w:eastAsia="Adobe 宋体 Std L" w:cs="Adobe 宋体 Std L"/>
          <w:sz w:val="76"/>
          <w:szCs w:val="76"/>
          <w:lang w:eastAsia="zh-CN"/>
        </w:rPr>
        <w:t>采购文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0301</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超声探头更换项目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lang w:eastAsia="zh-CN"/>
        </w:rPr>
        <w:t>超声探头更换</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超声探头更换</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eastAsia="宋体" w:cs="宋体"/>
          <w:sz w:val="20"/>
          <w:szCs w:val="20"/>
          <w:lang w:val="en-US" w:eastAsia="en-US" w:bidi="ar-SA"/>
        </w:rPr>
      </w:pPr>
    </w:p>
    <w:tbl>
      <w:tblPr>
        <w:tblStyle w:val="13"/>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5" w:type="dxa"/>
            <w:vAlign w:val="top"/>
          </w:tcPr>
          <w:p>
            <w:pPr>
              <w:spacing w:before="74"/>
              <w:ind w:left="107"/>
              <w:jc w:val="both"/>
              <w:rPr>
                <w:rFonts w:ascii="宋体" w:hAnsi="宋体" w:cs="宋体"/>
                <w:sz w:val="24"/>
                <w:szCs w:val="24"/>
                <w:lang w:eastAsia="zh-CN"/>
              </w:rPr>
            </w:pPr>
            <w:r>
              <w:rPr>
                <w:rFonts w:ascii="宋体" w:hAnsi="宋体" w:cs="宋体"/>
                <w:sz w:val="24"/>
                <w:szCs w:val="24"/>
                <w:lang w:eastAsia="zh-CN"/>
              </w:rPr>
              <w:t>项目概况</w:t>
            </w:r>
          </w:p>
          <w:p>
            <w:pPr>
              <w:snapToGrid w:val="0"/>
              <w:spacing w:line="360" w:lineRule="auto"/>
              <w:contextualSpacing/>
              <w:jc w:val="both"/>
              <w:rPr>
                <w:rFonts w:ascii="宋体" w:hAnsi="宋体" w:eastAsia="宋体" w:cs="宋体"/>
                <w:sz w:val="20"/>
                <w:szCs w:val="20"/>
                <w:lang w:val="en-US" w:eastAsia="en-US" w:bidi="ar-SA"/>
              </w:rPr>
            </w:pPr>
            <w:r>
              <w:rPr>
                <w:rFonts w:ascii="宋体" w:hAnsi="宋体" w:cs="宋体"/>
                <w:sz w:val="24"/>
                <w:szCs w:val="24"/>
                <w:u w:val="single" w:color="000000"/>
                <w:lang w:eastAsia="zh-CN"/>
              </w:rPr>
              <w:t>织金县人民医院</w:t>
            </w:r>
            <w:r>
              <w:rPr>
                <w:rFonts w:hint="eastAsia"/>
                <w:u w:val="single"/>
                <w:lang w:eastAsia="zh-CN"/>
              </w:rPr>
              <w:t>超声探头更换</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ascii="宋体" w:hAnsi="宋体" w:cs="宋体"/>
                <w:sz w:val="24"/>
                <w:szCs w:val="24"/>
                <w:lang w:eastAsia="zh-CN"/>
              </w:rPr>
              <w:t>，并于</w:t>
            </w:r>
            <w:r>
              <w:rPr>
                <w:rFonts w:cs="宋体"/>
                <w:color w:val="FF0000"/>
                <w:u w:val="single"/>
                <w:lang w:eastAsia="zh-CN"/>
              </w:rPr>
              <w:t>202</w:t>
            </w:r>
            <w:r>
              <w:rPr>
                <w:rFonts w:hint="eastAsia" w:cs="宋体"/>
                <w:color w:val="FF0000"/>
                <w:u w:val="single"/>
                <w:lang w:val="en-US" w:eastAsia="zh-CN"/>
              </w:rPr>
              <w:t>4</w:t>
            </w:r>
            <w:r>
              <w:rPr>
                <w:color w:val="FF0000"/>
                <w:lang w:eastAsia="zh-CN"/>
              </w:rPr>
              <w:t>年</w:t>
            </w:r>
            <w:r>
              <w:rPr>
                <w:rFonts w:hint="eastAsia"/>
                <w:color w:val="FF0000"/>
                <w:u w:val="single"/>
                <w:lang w:eastAsia="zh-CN"/>
              </w:rPr>
              <w:t xml:space="preserve"> </w:t>
            </w:r>
            <w:r>
              <w:rPr>
                <w:rFonts w:hint="eastAsia"/>
                <w:color w:val="FF0000"/>
                <w:u w:val="single"/>
                <w:lang w:val="en-US" w:eastAsia="zh-CN"/>
              </w:rPr>
              <w:t>03</w:t>
            </w:r>
            <w:r>
              <w:rPr>
                <w:color w:val="FF0000"/>
                <w:lang w:eastAsia="zh-CN"/>
              </w:rPr>
              <w:t>月</w:t>
            </w:r>
            <w:r>
              <w:rPr>
                <w:rFonts w:hint="eastAsia"/>
                <w:color w:val="FF0000"/>
                <w:lang w:val="en-US" w:eastAsia="zh-CN"/>
              </w:rPr>
              <w:t>08</w:t>
            </w:r>
            <w:r>
              <w:rPr>
                <w:color w:val="FF0000"/>
                <w:lang w:eastAsia="zh-CN"/>
              </w:rPr>
              <w:t>日</w:t>
            </w:r>
            <w:r>
              <w:rPr>
                <w:rFonts w:hint="eastAsia" w:cs="宋体"/>
                <w:color w:val="FF0000"/>
                <w:u w:val="single"/>
                <w:lang w:eastAsia="zh-CN"/>
              </w:rPr>
              <w:t>14</w:t>
            </w:r>
            <w:r>
              <w:rPr>
                <w:color w:val="FF0000"/>
                <w:lang w:eastAsia="zh-CN"/>
              </w:rPr>
              <w:t>点</w:t>
            </w:r>
            <w:r>
              <w:rPr>
                <w:rFonts w:hint="eastAsia" w:cs="宋体"/>
                <w:color w:val="FF0000"/>
                <w:u w:val="single"/>
                <w:lang w:eastAsia="zh-CN"/>
              </w:rPr>
              <w:t>3</w:t>
            </w:r>
            <w:r>
              <w:rPr>
                <w:rFonts w:cs="宋体"/>
                <w:color w:val="FF0000"/>
                <w:u w:val="single"/>
                <w:lang w:eastAsia="zh-CN"/>
              </w:rPr>
              <w:t>0</w:t>
            </w:r>
            <w:r>
              <w:rPr>
                <w:color w:val="FF0000"/>
                <w:lang w:eastAsia="zh-CN"/>
              </w:rPr>
              <w:t>分</w:t>
            </w:r>
            <w:r>
              <w:rPr>
                <w:rFonts w:ascii="宋体" w:hAnsi="宋体" w:cs="宋体"/>
                <w:sz w:val="24"/>
                <w:szCs w:val="24"/>
                <w:lang w:eastAsia="zh-CN"/>
              </w:rPr>
              <w:t>（北京时间）前提交响应文件。</w:t>
            </w:r>
          </w:p>
        </w:tc>
      </w:tr>
    </w:tbl>
    <w:p>
      <w:pPr>
        <w:snapToGrid w:val="0"/>
        <w:spacing w:line="360" w:lineRule="auto"/>
        <w:ind w:left="103"/>
        <w:contextualSpacing/>
        <w:rPr>
          <w:rFonts w:ascii="宋体" w:hAnsi="宋体" w:eastAsia="宋体" w:cs="宋体"/>
          <w:sz w:val="20"/>
          <w:szCs w:val="20"/>
          <w:lang w:val="en-US" w:eastAsia="en-US" w:bidi="ar-SA"/>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4</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0301</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超声探头更换</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叁拾伍万</w:t>
      </w:r>
      <w:r>
        <w:rPr>
          <w:spacing w:val="-1"/>
          <w:u w:val="single" w:color="000000"/>
          <w:lang w:eastAsia="zh-CN"/>
        </w:rPr>
        <w:t>元整（</w:t>
      </w:r>
      <w:r>
        <w:rPr>
          <w:rFonts w:hint="eastAsia" w:ascii="Times New Roman" w:hAnsi="Times New Roman"/>
          <w:spacing w:val="-1"/>
          <w:u w:val="single" w:color="000000"/>
          <w:lang w:val="en-US" w:eastAsia="zh-CN"/>
        </w:rPr>
        <w:t>35</w:t>
      </w:r>
      <w:r>
        <w:rPr>
          <w:rFonts w:hint="eastAsia" w:ascii="Times New Roman" w:hAnsi="Times New Roman"/>
          <w:spacing w:val="-1"/>
          <w:u w:val="single" w:color="000000"/>
          <w:lang w:eastAsia="zh-CN"/>
        </w:rPr>
        <w:t>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超声探头更换</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3</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3</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超声探头更换</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年</w:t>
      </w:r>
      <w:r>
        <w:rPr>
          <w:rFonts w:hint="eastAsia"/>
          <w:color w:val="FF0000"/>
          <w:u w:val="single" w:color="auto"/>
          <w:lang w:val="en-US" w:eastAsia="zh-CN"/>
        </w:rPr>
        <w:t>03</w:t>
      </w:r>
      <w:r>
        <w:rPr>
          <w:color w:val="FF0000"/>
          <w:lang w:eastAsia="zh-CN"/>
        </w:rPr>
        <w:t>月</w:t>
      </w:r>
      <w:r>
        <w:rPr>
          <w:rFonts w:hint="eastAsia" w:cs="宋体"/>
          <w:color w:val="FF0000"/>
          <w:u w:val="single" w:color="000000"/>
          <w:lang w:val="en-US" w:eastAsia="zh-CN"/>
        </w:rPr>
        <w:t>01</w:t>
      </w:r>
      <w:r>
        <w:rPr>
          <w:color w:val="FF0000"/>
          <w:lang w:eastAsia="zh-CN"/>
        </w:rPr>
        <w:t>日</w:t>
      </w:r>
      <w:r>
        <w:rPr>
          <w:lang w:eastAsia="zh-CN"/>
        </w:rPr>
        <w:t>至</w:t>
      </w:r>
      <w:r>
        <w:rPr>
          <w:rFonts w:cs="宋体"/>
          <w:color w:val="FF0000"/>
          <w:u w:val="single" w:color="000000"/>
          <w:lang w:eastAsia="zh-CN"/>
        </w:rPr>
        <w:t>20</w:t>
      </w:r>
      <w:r>
        <w:rPr>
          <w:rFonts w:hint="eastAsia" w:cs="宋体"/>
          <w:color w:val="FF0000"/>
          <w:u w:val="single" w:color="000000"/>
          <w:lang w:val="en-US" w:eastAsia="zh-CN"/>
        </w:rPr>
        <w:t>24</w:t>
      </w:r>
      <w:r>
        <w:rPr>
          <w:color w:val="FF0000"/>
          <w:lang w:eastAsia="zh-CN"/>
        </w:rPr>
        <w:t>年</w:t>
      </w:r>
      <w:r>
        <w:rPr>
          <w:rFonts w:hint="eastAsia" w:cs="宋体"/>
          <w:color w:val="FF0000"/>
          <w:u w:val="single" w:color="000000"/>
          <w:lang w:val="en-US" w:eastAsia="zh-CN"/>
        </w:rPr>
        <w:t>03</w:t>
      </w:r>
      <w:r>
        <w:rPr>
          <w:color w:val="FF0000"/>
          <w:lang w:eastAsia="zh-CN"/>
        </w:rPr>
        <w:t>月</w:t>
      </w:r>
      <w:r>
        <w:rPr>
          <w:rFonts w:hint="eastAsia" w:cs="宋体"/>
          <w:color w:val="FF0000"/>
          <w:u w:val="single" w:color="000000"/>
          <w:lang w:val="en-US" w:eastAsia="zh-CN"/>
        </w:rPr>
        <w:t>08</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03</w:t>
      </w:r>
      <w:r>
        <w:rPr>
          <w:color w:val="FF0000"/>
          <w:lang w:eastAsia="zh-CN"/>
        </w:rPr>
        <w:t xml:space="preserve">月 </w:t>
      </w:r>
      <w:r>
        <w:rPr>
          <w:rFonts w:hint="eastAsia" w:cs="宋体"/>
          <w:color w:val="FF0000"/>
          <w:u w:val="single" w:color="000000"/>
          <w:lang w:val="en-US" w:eastAsia="zh-CN"/>
        </w:rPr>
        <w:t>08</w:t>
      </w:r>
      <w:r>
        <w:rPr>
          <w:lang w:eastAsia="zh-CN"/>
        </w:rPr>
        <w:t xml:space="preserve">日 </w:t>
      </w:r>
      <w:r>
        <w:rPr>
          <w:rFonts w:hint="eastAsia" w:cs="宋体"/>
          <w:u w:val="single" w:color="000000"/>
          <w:lang w:eastAsia="zh-CN"/>
        </w:rPr>
        <w:t>15</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03</w:t>
      </w:r>
      <w:r>
        <w:rPr>
          <w:color w:val="FF0000"/>
          <w:lang w:eastAsia="zh-CN"/>
        </w:rPr>
        <w:t xml:space="preserve">月 </w:t>
      </w:r>
      <w:r>
        <w:rPr>
          <w:rFonts w:hint="eastAsia" w:cs="宋体"/>
          <w:color w:val="FF0000"/>
          <w:u w:val="single" w:color="000000"/>
          <w:lang w:val="en-US" w:eastAsia="zh-CN"/>
        </w:rPr>
        <w:t>08</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pacing w:before="36" w:line="357" w:lineRule="auto"/>
        <w:ind w:left="120"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ascii="宋体" w:hAnsi="宋体" w:cs="宋体"/>
          <w:sz w:val="24"/>
          <w:szCs w:val="24"/>
          <w:u w:val="single"/>
          <w:lang w:eastAsia="zh-CN"/>
        </w:rPr>
        <w:t>202</w:t>
      </w:r>
      <w:r>
        <w:rPr>
          <w:rFonts w:hint="eastAsia" w:ascii="宋体" w:hAnsi="宋体" w:cs="宋体"/>
          <w:sz w:val="24"/>
          <w:szCs w:val="24"/>
          <w:u w:val="single"/>
          <w:lang w:val="en-US" w:eastAsia="zh-CN"/>
        </w:rPr>
        <w:t>4</w:t>
      </w:r>
      <w:r>
        <w:rPr>
          <w:rFonts w:hint="eastAsia" w:ascii="宋体" w:hAnsi="宋体" w:cs="宋体"/>
          <w:sz w:val="24"/>
          <w:szCs w:val="24"/>
          <w:u w:val="single"/>
          <w:lang w:eastAsia="zh-CN"/>
        </w:rPr>
        <w:t xml:space="preserve"> </w:t>
      </w:r>
      <w:r>
        <w:rPr>
          <w:rFonts w:ascii="宋体" w:hAnsi="宋体" w:cs="宋体"/>
          <w:sz w:val="24"/>
          <w:szCs w:val="24"/>
          <w:lang w:eastAsia="zh-CN"/>
        </w:rPr>
        <w:t>年</w:t>
      </w:r>
      <w:r>
        <w:rPr>
          <w:rFonts w:hint="eastAsia" w:ascii="宋体" w:hAnsi="宋体" w:cs="宋体"/>
          <w:sz w:val="24"/>
          <w:szCs w:val="24"/>
          <w:u w:val="single"/>
          <w:lang w:val="en-US" w:eastAsia="zh-CN"/>
        </w:rPr>
        <w:t>03</w:t>
      </w:r>
      <w:r>
        <w:rPr>
          <w:rFonts w:ascii="宋体" w:hAnsi="宋体" w:cs="宋体"/>
          <w:sz w:val="24"/>
          <w:szCs w:val="24"/>
          <w:lang w:eastAsia="zh-CN"/>
        </w:rPr>
        <w:t>月</w:t>
      </w:r>
      <w:r>
        <w:rPr>
          <w:rFonts w:hint="eastAsia" w:ascii="宋体" w:hAnsi="宋体" w:cs="宋体"/>
          <w:sz w:val="24"/>
          <w:szCs w:val="24"/>
          <w:u w:val="single" w:color="auto"/>
          <w:lang w:val="en-US" w:eastAsia="zh-CN"/>
        </w:rPr>
        <w:t>08</w:t>
      </w:r>
      <w:r>
        <w:rPr>
          <w:rFonts w:hint="eastAsia" w:ascii="宋体" w:hAnsi="宋体" w:cs="宋体"/>
          <w:sz w:val="24"/>
          <w:szCs w:val="24"/>
          <w:lang w:eastAsia="zh-CN"/>
        </w:rPr>
        <w:t>日</w:t>
      </w:r>
      <w:r>
        <w:rPr>
          <w:rFonts w:hint="eastAsia" w:ascii="宋体" w:hAnsi="宋体" w:cs="宋体"/>
          <w:sz w:val="24"/>
          <w:szCs w:val="24"/>
          <w:u w:val="single"/>
          <w:lang w:eastAsia="zh-CN"/>
        </w:rPr>
        <w:t>14：</w:t>
      </w:r>
      <w:r>
        <w:rPr>
          <w:rFonts w:hint="eastAsia" w:cs="宋体"/>
          <w:u w:val="single"/>
          <w:lang w:eastAsia="zh-CN"/>
        </w:rPr>
        <w:t>00</w:t>
      </w:r>
      <w:r>
        <w:rPr>
          <w:rFonts w:ascii="宋体" w:hAnsi="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lang w:val="en-US" w:eastAsia="zh-CN"/>
        </w:rPr>
        <w:t>7</w:t>
      </w:r>
      <w:r>
        <w:rPr>
          <w:rFonts w:hint="eastAsia" w:cs="宋体"/>
          <w:spacing w:val="3"/>
          <w:u w:val="single"/>
          <w:lang w:eastAsia="zh-CN"/>
        </w:rPr>
        <w:t>000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cs="宋体"/>
          <w:spacing w:val="3"/>
          <w:u w:val="single"/>
          <w:lang w:eastAsia="zh-CN"/>
        </w:rPr>
        <w:t>20</w:t>
      </w:r>
      <w:r>
        <w:rPr>
          <w:rFonts w:hint="eastAsia" w:cs="宋体"/>
          <w:spacing w:val="3"/>
          <w:u w:val="single"/>
          <w:lang w:val="en-US" w:eastAsia="zh-CN"/>
        </w:rPr>
        <w:t>24</w:t>
      </w:r>
      <w:r>
        <w:rPr>
          <w:rFonts w:cs="宋体"/>
          <w:spacing w:val="3"/>
          <w:lang w:eastAsia="zh-CN"/>
        </w:rPr>
        <w:t>年</w:t>
      </w:r>
      <w:r>
        <w:rPr>
          <w:rFonts w:hint="eastAsia" w:cs="宋体"/>
          <w:spacing w:val="3"/>
          <w:u w:val="single"/>
          <w:lang w:val="en-US" w:eastAsia="zh-CN"/>
        </w:rPr>
        <w:t>03</w:t>
      </w:r>
      <w:r>
        <w:rPr>
          <w:rFonts w:cs="宋体"/>
          <w:spacing w:val="3"/>
          <w:lang w:eastAsia="zh-CN"/>
        </w:rPr>
        <w:t>月</w:t>
      </w:r>
      <w:r>
        <w:rPr>
          <w:rFonts w:hint="eastAsia" w:cs="宋体"/>
          <w:spacing w:val="3"/>
          <w:u w:val="single"/>
          <w:lang w:val="en-US" w:eastAsia="zh-CN"/>
        </w:rPr>
        <w:t>08</w:t>
      </w:r>
      <w:r>
        <w:rPr>
          <w:rFonts w:cs="宋体"/>
          <w:spacing w:val="3"/>
          <w:lang w:eastAsia="zh-CN"/>
        </w:rPr>
        <w:t>日</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96" w:right="5050"/>
        <w:contextualSpacing/>
        <w:rPr>
          <w:rFonts w:ascii="宋体" w:hAnsi="宋体" w:cs="宋体"/>
          <w:b/>
          <w:bCs/>
          <w:sz w:val="24"/>
          <w:szCs w:val="24"/>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hint="eastAsia"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widowControl w:val="0"/>
        <w:spacing w:before="0" w:beforeAutospacing="0" w:after="0" w:afterAutospacing="0"/>
        <w:ind w:left="0" w:right="0"/>
        <w:jc w:val="center"/>
        <w:rPr>
          <w:sz w:val="44"/>
          <w:szCs w:val="44"/>
          <w:lang w:val="en-US"/>
        </w:rPr>
      </w:pPr>
      <w:r>
        <w:rPr>
          <w:rFonts w:hint="eastAsia" w:ascii="Calibri" w:hAnsi="Calibri" w:eastAsia="宋体" w:cs="宋体"/>
          <w:kern w:val="2"/>
          <w:sz w:val="44"/>
          <w:szCs w:val="44"/>
          <w:lang w:val="en-US" w:eastAsia="zh-CN" w:bidi="ar-SA"/>
        </w:rPr>
        <w:t>超声医学科</w:t>
      </w:r>
      <w:r>
        <w:rPr>
          <w:rFonts w:hint="default" w:ascii="Calibri" w:hAnsi="Calibri" w:eastAsia="宋体" w:cs="Times New Roman"/>
          <w:kern w:val="2"/>
          <w:sz w:val="44"/>
          <w:szCs w:val="44"/>
          <w:lang w:val="en-US" w:eastAsia="zh-CN" w:bidi="ar-SA"/>
        </w:rPr>
        <w:t>B</w:t>
      </w:r>
      <w:r>
        <w:rPr>
          <w:rFonts w:hint="eastAsia" w:ascii="Calibri" w:hAnsi="Calibri" w:eastAsia="宋体" w:cs="宋体"/>
          <w:kern w:val="2"/>
          <w:sz w:val="44"/>
          <w:szCs w:val="44"/>
          <w:lang w:val="en-US" w:eastAsia="zh-CN" w:bidi="ar-SA"/>
        </w:rPr>
        <w:t>超探头参数</w:t>
      </w:r>
    </w:p>
    <w:p>
      <w:pPr>
        <w:widowControl w:val="0"/>
        <w:spacing w:before="0" w:beforeAutospacing="0" w:after="0" w:afterAutospacing="0"/>
        <w:ind w:left="0" w:right="0"/>
        <w:jc w:val="center"/>
        <w:rPr>
          <w:sz w:val="36"/>
          <w:szCs w:val="36"/>
          <w:lang w:val="en-US"/>
        </w:rPr>
      </w:pPr>
    </w:p>
    <w:tbl>
      <w:tblPr>
        <w:tblStyle w:val="13"/>
        <w:tblW w:w="9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1"/>
        <w:gridCol w:w="1027"/>
        <w:gridCol w:w="1066"/>
        <w:gridCol w:w="2067"/>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产品名称</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单位</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数量</w:t>
            </w:r>
          </w:p>
        </w:tc>
        <w:tc>
          <w:tcPr>
            <w:tcW w:w="5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GE</w:t>
            </w:r>
            <w:r>
              <w:rPr>
                <w:rFonts w:hint="eastAsia" w:ascii="Calibri" w:hAnsi="Calibri" w:eastAsia="宋体" w:cs="宋体"/>
                <w:kern w:val="2"/>
                <w:sz w:val="24"/>
                <w:szCs w:val="24"/>
                <w:bdr w:val="none" w:color="auto" w:sz="0" w:space="0"/>
                <w:lang w:val="en-US" w:eastAsia="zh-CN" w:bidi="ar-SA"/>
              </w:rPr>
              <w:t>腹部探头</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凸阵探头</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可用于穿刺</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扫描频率范围</w:t>
            </w:r>
            <w:r>
              <w:rPr>
                <w:rFonts w:hint="default" w:ascii="Calibri" w:hAnsi="Calibri" w:eastAsia="宋体" w:cs="Times New Roman"/>
                <w:kern w:val="2"/>
                <w:sz w:val="24"/>
                <w:szCs w:val="24"/>
                <w:bdr w:val="none" w:color="auto" w:sz="0" w:space="0"/>
                <w:lang w:val="en-US" w:eastAsia="zh-CN" w:bidi="ar-SA"/>
              </w:rPr>
              <w:t>1.5-5.0M</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视场角</w:t>
            </w:r>
            <w:r>
              <w:rPr>
                <w:rFonts w:hint="default" w:ascii="Calibri" w:hAnsi="Calibri" w:eastAsia="宋体" w:cs="Times New Roman"/>
                <w:kern w:val="2"/>
                <w:sz w:val="24"/>
                <w:szCs w:val="24"/>
                <w:bdr w:val="none" w:color="auto" w:sz="0" w:space="0"/>
                <w:lang w:val="en-US" w:eastAsia="zh-CN" w:bidi="ar-SA"/>
              </w:rPr>
              <w:t>65</w:t>
            </w:r>
            <w:r>
              <w:rPr>
                <w:rFonts w:hint="eastAsia" w:ascii="Calibri" w:hAnsi="Calibri" w:eastAsia="宋体" w:cs="宋体"/>
                <w:kern w:val="2"/>
                <w:sz w:val="24"/>
                <w:szCs w:val="24"/>
                <w:bdr w:val="none" w:color="auto" w:sz="0" w:space="0"/>
                <w:lang w:val="en-US" w:eastAsia="zh-CN" w:bidi="ar-SA"/>
              </w:rPr>
              <w:t>°</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探测深度</w:t>
            </w:r>
            <w:r>
              <w:rPr>
                <w:rFonts w:hint="default" w:ascii="Calibri" w:hAnsi="Calibri" w:eastAsia="宋体" w:cs="Times New Roman"/>
                <w:kern w:val="2"/>
                <w:sz w:val="24"/>
                <w:szCs w:val="24"/>
                <w:bdr w:val="none" w:color="auto" w:sz="0" w:space="0"/>
                <w:lang w:val="en-US" w:eastAsia="zh-CN" w:bidi="ar-SA"/>
              </w:rPr>
              <w:t>33cm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开立浅表探头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阵元</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中心频率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频率范围</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3.0--17.0MHz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成像宽度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迈瑞腔内探头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应用领域</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带宽</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3.5-12.3MHz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阵元数</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曲率半径</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物理尺寸</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22,1mmx21.5mm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声透镜</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22,1mmx9,1mm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扫描角度（最大）</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130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扩展成像</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B</w:t>
            </w:r>
            <w:r>
              <w:rPr>
                <w:rFonts w:hint="eastAsia" w:ascii="Calibri" w:hAnsi="Calibri" w:eastAsia="宋体" w:cs="宋体"/>
                <w:kern w:val="2"/>
                <w:sz w:val="24"/>
                <w:szCs w:val="24"/>
                <w:bdr w:val="none" w:color="auto" w:sz="0" w:space="0"/>
                <w:lang w:val="en-US" w:eastAsia="zh-CN" w:bidi="ar-SA"/>
              </w:rPr>
              <w:t>模式频点</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5.0,6.5,8.0MHz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谐波频点</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8.0,9,0MHz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彩色多普勒频点</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4.0,5.0MHz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PW</w:t>
            </w:r>
            <w:r>
              <w:rPr>
                <w:rFonts w:hint="eastAsia" w:ascii="Calibri" w:hAnsi="Calibri" w:eastAsia="宋体" w:cs="宋体"/>
                <w:kern w:val="2"/>
                <w:sz w:val="24"/>
                <w:szCs w:val="24"/>
                <w:bdr w:val="none" w:color="auto" w:sz="0" w:space="0"/>
                <w:lang w:val="en-US" w:eastAsia="zh-CN" w:bidi="ar-SA"/>
              </w:rPr>
              <w:t>频点</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4.0.5.0MHz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飞利浦浅表探头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临床应用</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成人超声，儿科超声，</w:t>
            </w:r>
            <w:r>
              <w:rPr>
                <w:rFonts w:hint="default" w:ascii="Calibri" w:hAnsi="Calibri" w:eastAsia="宋体" w:cs="Times New Roman"/>
                <w:kern w:val="2"/>
                <w:sz w:val="24"/>
                <w:szCs w:val="24"/>
                <w:bdr w:val="none" w:color="auto" w:sz="0" w:space="0"/>
                <w:lang w:val="en-US" w:eastAsia="zh-CN" w:bidi="ar-SA"/>
              </w:rPr>
              <w:t>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使用机型</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EPIQ5/EPIQ5C/EPIQ7/EPIQ7C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成像模式</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二维模式，</w:t>
            </w:r>
            <w:r>
              <w:rPr>
                <w:rFonts w:hint="default" w:ascii="Calibri" w:hAnsi="Calibri" w:eastAsia="宋体" w:cs="Times New Roman"/>
                <w:kern w:val="2"/>
                <w:sz w:val="24"/>
                <w:szCs w:val="24"/>
                <w:bdr w:val="none" w:color="auto" w:sz="0" w:space="0"/>
                <w:lang w:val="en-US" w:eastAsia="zh-CN" w:bidi="ar-SA"/>
              </w:rPr>
              <w:t>M</w:t>
            </w:r>
            <w:r>
              <w:rPr>
                <w:rFonts w:hint="eastAsia" w:ascii="Calibri" w:hAnsi="Calibri" w:eastAsia="宋体" w:cs="宋体"/>
                <w:kern w:val="2"/>
                <w:sz w:val="24"/>
                <w:szCs w:val="24"/>
                <w:bdr w:val="none" w:color="auto" w:sz="0" w:space="0"/>
                <w:lang w:val="en-US" w:eastAsia="zh-CN" w:bidi="ar-SA"/>
              </w:rPr>
              <w:t>超模式，可操纵的</w:t>
            </w:r>
            <w:r>
              <w:rPr>
                <w:rFonts w:hint="default" w:ascii="Calibri" w:hAnsi="Calibri" w:eastAsia="宋体" w:cs="Times New Roman"/>
                <w:kern w:val="2"/>
                <w:sz w:val="24"/>
                <w:szCs w:val="24"/>
                <w:bdr w:val="none" w:color="auto" w:sz="0" w:space="0"/>
                <w:lang w:val="en-US" w:eastAsia="zh-CN" w:bidi="ar-SA"/>
              </w:rPr>
              <w:t>PW</w:t>
            </w:r>
            <w:r>
              <w:rPr>
                <w:rFonts w:hint="eastAsia" w:ascii="Calibri" w:hAnsi="Calibri" w:eastAsia="宋体" w:cs="宋体"/>
                <w:kern w:val="2"/>
                <w:sz w:val="24"/>
                <w:szCs w:val="24"/>
                <w:bdr w:val="none" w:color="auto" w:sz="0" w:space="0"/>
                <w:lang w:val="en-US" w:eastAsia="zh-CN" w:bidi="ar-SA"/>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彩色多普勒模式，彩色能量血管成像模式，组织多普勒模式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全景成像模式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5.0-12.0MHz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振源</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 mm max at 2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 xml:space="preserve">1.3 mm max at 6 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0.75 mm max at 2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0.75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0.90 mm max at 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活检引导</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Optional infinite-angle</w:t>
            </w:r>
            <w:r>
              <w:rPr>
                <w:rFonts w:hint="eastAsia" w:ascii="Calibri" w:hAnsi="Calibri" w:eastAsia="宋体" w:cs="宋体"/>
                <w:kern w:val="2"/>
                <w:sz w:val="24"/>
                <w:szCs w:val="24"/>
                <w:bdr w:val="none" w:color="auto" w:sz="0" w:space="0"/>
                <w:lang w:val="en-US" w:eastAsia="zh-CN" w:bidi="ar-SA"/>
              </w:rPr>
              <w:t>自由角度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技术</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宽带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穿透深度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3.5cm(minimum)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飞利浦四维探头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频率范围</w:t>
            </w:r>
            <w:r>
              <w:rPr>
                <w:rFonts w:hint="default" w:ascii="Calibri" w:hAnsi="Calibri" w:eastAsia="宋体" w:cs="Times New Roman"/>
                <w:kern w:val="2"/>
                <w:sz w:val="24"/>
                <w:szCs w:val="24"/>
                <w:bdr w:val="none" w:color="auto" w:sz="0" w:space="0"/>
                <w:lang w:val="en-US" w:eastAsia="zh-CN" w:bidi="ar-SA"/>
              </w:rPr>
              <w:t>(MHz)</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中心频率</w:t>
            </w:r>
            <w:r>
              <w:rPr>
                <w:rFonts w:hint="default" w:ascii="Calibri" w:hAnsi="Calibri" w:eastAsia="宋体" w:cs="Times New Roman"/>
                <w:kern w:val="2"/>
                <w:sz w:val="24"/>
                <w:szCs w:val="24"/>
                <w:bdr w:val="none" w:color="auto" w:sz="0" w:space="0"/>
                <w:lang w:val="en-US" w:eastAsia="zh-CN" w:bidi="ar-SA"/>
              </w:rPr>
              <w:t>(MHz)</w:t>
            </w:r>
          </w:p>
          <w:p>
            <w:pPr>
              <w:widowControl w:val="0"/>
              <w:spacing w:before="0" w:beforeAutospacing="0" w:after="0" w:afterAutospacing="0"/>
              <w:ind w:left="0" w:right="0"/>
              <w:jc w:val="center"/>
              <w:rPr>
                <w:sz w:val="24"/>
                <w:szCs w:val="24"/>
                <w:bdr w:val="none" w:color="auto" w:sz="0" w:space="0"/>
                <w:lang w:val="en-US"/>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标称频率</w:t>
            </w:r>
            <w:r>
              <w:rPr>
                <w:rFonts w:hint="default" w:ascii="Calibri" w:hAnsi="Calibri" w:eastAsia="宋体" w:cs="Times New Roman"/>
                <w:kern w:val="2"/>
                <w:sz w:val="24"/>
                <w:szCs w:val="24"/>
                <w:bdr w:val="none" w:color="auto" w:sz="0" w:space="0"/>
                <w:lang w:val="en-US" w:eastAsia="zh-CN" w:bidi="ar-SA"/>
              </w:rPr>
              <w:t>(MHz)</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最大探测深度（</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侧向（横向）分辨力（</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3</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eastAsia" w:ascii="Calibri" w:hAnsi="Calibri" w:eastAsia="宋体" w:cs="宋体"/>
                <w:kern w:val="2"/>
                <w:sz w:val="24"/>
                <w:szCs w:val="24"/>
                <w:bdr w:val="none" w:color="auto" w:sz="0" w:space="0"/>
                <w:lang w:val="en-US" w:eastAsia="zh-CN" w:bidi="ar-SA"/>
              </w:rPr>
              <w:t>）</w:t>
            </w:r>
          </w:p>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4</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default" w:ascii="Calibri" w:hAnsi="Calibri" w:eastAsia="宋体" w:cs="Calibri"/>
                <w:kern w:val="2"/>
                <w:sz w:val="24"/>
                <w:szCs w:val="24"/>
                <w:bdr w:val="none" w:color="auto" w:sz="0" w:space="0"/>
                <w:lang w:val="en-US" w:eastAsia="zh-CN" w:bidi="ar-SA"/>
              </w:rPr>
              <w:t>&lt;</w:t>
            </w:r>
            <w:r>
              <w:rPr>
                <w:rFonts w:hint="eastAsia" w:ascii="Calibri" w:hAnsi="Calibri" w:eastAsia="宋体" w:cs="Calibri"/>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≤130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轴向（纵向）分辨力（</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2(</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eastAsia" w:ascii="Calibri" w:hAnsi="Calibri" w:eastAsia="宋体" w:cs="宋体"/>
                <w:kern w:val="2"/>
                <w:sz w:val="24"/>
                <w:szCs w:val="24"/>
                <w:bdr w:val="none" w:color="auto" w:sz="0" w:space="0"/>
                <w:lang w:val="en-US" w:eastAsia="zh-CN" w:bidi="ar-SA"/>
              </w:rPr>
              <w:t>）</w:t>
            </w:r>
          </w:p>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3</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default" w:ascii="Calibri" w:hAnsi="Calibri" w:eastAsia="宋体" w:cs="Calibri"/>
                <w:kern w:val="2"/>
                <w:sz w:val="24"/>
                <w:szCs w:val="24"/>
                <w:bdr w:val="none" w:color="auto" w:sz="0" w:space="0"/>
                <w:lang w:val="en-US" w:eastAsia="zh-CN" w:bidi="ar-SA"/>
              </w:rPr>
              <w:t>&lt;</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130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盲区</w:t>
            </w:r>
            <w:r>
              <w:rPr>
                <w:rFonts w:hint="default" w:ascii="Calibri" w:hAnsi="Calibri" w:eastAsia="宋体" w:cs="Times New Roman"/>
                <w:kern w:val="2"/>
                <w:sz w:val="24"/>
                <w:szCs w:val="24"/>
                <w:bdr w:val="none" w:color="auto" w:sz="0" w:space="0"/>
                <w:lang w:val="en-US" w:eastAsia="zh-CN" w:bidi="ar-SA"/>
              </w:rPr>
              <w:t>(mm)</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几何位置精度（</w:t>
            </w:r>
            <w:r>
              <w:rPr>
                <w:rFonts w:hint="default" w:ascii="Calibri" w:hAnsi="Calibri" w:eastAsia="宋体" w:cs="Times New Roman"/>
                <w:kern w:val="2"/>
                <w:sz w:val="24"/>
                <w:szCs w:val="24"/>
                <w:bdr w:val="none" w:color="auto" w:sz="0" w:space="0"/>
                <w:lang w:val="en-US" w:eastAsia="zh-CN" w:bidi="ar-SA"/>
              </w:rPr>
              <w:t>%</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10</w:t>
            </w:r>
            <w:r>
              <w:rPr>
                <w:rFonts w:hint="eastAsia" w:ascii="Calibri" w:hAnsi="Calibri" w:eastAsia="宋体" w:cs="宋体"/>
                <w:kern w:val="2"/>
                <w:sz w:val="24"/>
                <w:szCs w:val="24"/>
                <w:bdr w:val="none" w:color="auto" w:sz="0" w:space="0"/>
                <w:lang w:val="en-US" w:eastAsia="zh-CN" w:bidi="ar-SA"/>
              </w:rPr>
              <w:t>；纵向</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切片厚度</w:t>
            </w:r>
            <w:r>
              <w:rPr>
                <w:rFonts w:hint="default" w:ascii="Calibri" w:hAnsi="Calibri" w:eastAsia="宋体" w:cs="Times New Roman"/>
                <w:kern w:val="2"/>
                <w:sz w:val="24"/>
                <w:szCs w:val="24"/>
                <w:bdr w:val="none" w:color="auto" w:sz="0" w:space="0"/>
                <w:lang w:val="en-US" w:eastAsia="zh-CN" w:bidi="ar-SA"/>
              </w:rPr>
              <w:t>(mm)</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Calibri"/>
                <w:kern w:val="2"/>
                <w:sz w:val="24"/>
                <w:szCs w:val="24"/>
                <w:bdr w:val="none" w:color="auto" w:sz="0" w:space="0"/>
                <w:lang w:val="en-US" w:eastAsia="zh-CN" w:bidi="ar-SA"/>
              </w:rPr>
              <w:t>&lt;</w:t>
            </w:r>
            <w:r>
              <w:rPr>
                <w:rFonts w:hint="default" w:ascii="Calibri" w:hAnsi="Calibri" w:eastAsia="宋体" w:cs="Times New Roman"/>
                <w:kern w:val="2"/>
                <w:sz w:val="24"/>
                <w:szCs w:val="24"/>
                <w:bdr w:val="none" w:color="auto" w:sz="0" w:space="0"/>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飞利浦腹部探头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临床应用</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成人超声，儿科超声，</w:t>
            </w:r>
            <w:r>
              <w:rPr>
                <w:rFonts w:hint="default" w:ascii="Calibri" w:hAnsi="Calibri" w:eastAsia="宋体" w:cs="Times New Roman"/>
                <w:kern w:val="2"/>
                <w:sz w:val="24"/>
                <w:szCs w:val="24"/>
                <w:bdr w:val="none" w:color="auto" w:sz="0" w:space="0"/>
                <w:lang w:val="en-US" w:eastAsia="zh-CN" w:bidi="ar-SA"/>
              </w:rPr>
              <w:t>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使用机型</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EPIQ5/EPIQ5C/EPIQ7/EPIQ7C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成像模式</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2D</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M-mode</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M-mode</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steerable PW Doppler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Tissue High PRF Doppler</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Doppler</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Panoramic Imaging</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Power Angio imaging</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 xml:space="preserve">Directional Color Power Angio imaging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Harmonic Imaging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阵源</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1.8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 mm max at 8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3.4 mm max at 12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1.3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1.3 mm max at 8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1.4 mm max at 12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活检引导</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Optional 4-angle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技术</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宽带，纯净波</w:t>
            </w:r>
          </w:p>
        </w:tc>
      </w:tr>
    </w:tbl>
    <w:p>
      <w:pPr>
        <w:pStyle w:val="4"/>
        <w:snapToGrid w:val="0"/>
        <w:spacing w:before="125" w:line="360" w:lineRule="auto"/>
        <w:ind w:left="116" w:firstLine="480"/>
        <w:contextualSpacing/>
        <w:rPr>
          <w:lang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超声探头更换</w:t>
      </w:r>
      <w:r>
        <w:rPr>
          <w:rFonts w:hint="eastAsia"/>
          <w:w w:val="95"/>
          <w:lang w:val="en-US" w:eastAsia="zh-CN"/>
        </w:rPr>
        <w:t>需要与原机型匹配，为避免不必要的误会，请投标供应商尽量到现场了解情况</w:t>
      </w:r>
      <w:r>
        <w:rPr>
          <w:w w:val="95"/>
          <w:lang w:eastAsia="zh-CN"/>
        </w:rPr>
        <w:t>。</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w:t>
      </w:r>
      <w:bookmarkStart w:id="7" w:name="_GoBack"/>
      <w:bookmarkEnd w:id="7"/>
      <w:r>
        <w:rPr>
          <w:spacing w:val="2"/>
          <w:w w:val="95"/>
          <w:lang w:eastAsia="zh-CN"/>
        </w:rPr>
        <w:t>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hint="eastAsia" w:cs="宋体"/>
          <w:w w:val="95"/>
          <w:lang w:val="en-US" w:eastAsia="zh-CN"/>
        </w:rPr>
        <w:t xml:space="preserve">  </w:t>
      </w: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3</w:t>
      </w:r>
      <w:r>
        <w:rPr>
          <w:color w:val="C00000"/>
          <w:lang w:eastAsia="zh-CN"/>
        </w:rPr>
        <w:t>年</w:t>
      </w:r>
      <w:r>
        <w:rPr>
          <w:rFonts w:hint="eastAsia"/>
          <w:color w:val="C00000"/>
          <w:lang w:val="en-US" w:eastAsia="zh-CN"/>
        </w:rPr>
        <w:t>03</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3</w:t>
      </w:r>
      <w:r>
        <w:rPr>
          <w:color w:val="C00000"/>
          <w:lang w:eastAsia="zh-CN"/>
        </w:rPr>
        <w:t>年</w:t>
      </w:r>
      <w:r>
        <w:rPr>
          <w:rFonts w:hint="eastAsia"/>
          <w:color w:val="C00000"/>
          <w:lang w:val="en-US" w:eastAsia="zh-CN"/>
        </w:rPr>
        <w:t>03</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超声探头更换</w:t>
      </w:r>
      <w:r>
        <w:rPr>
          <w:spacing w:val="1"/>
          <w:lang w:eastAsia="zh-CN"/>
        </w:rPr>
        <w:t>有效的《医疗器械注册证》；②</w:t>
      </w:r>
      <w:r>
        <w:rPr>
          <w:rFonts w:hint="eastAsia"/>
          <w:spacing w:val="2"/>
          <w:lang w:eastAsia="zh-CN"/>
        </w:rPr>
        <w:t>超声探头更换</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hint="eastAsia" w:ascii="宋体" w:hAnsi="宋体" w:eastAsia="宋体" w:cs="宋体"/>
                <w:color w:val="C00000"/>
                <w:sz w:val="24"/>
                <w:szCs w:val="24"/>
                <w:lang w:eastAsia="zh-CN"/>
              </w:rPr>
            </w:pPr>
            <w:r>
              <w:rPr>
                <w:rFonts w:hint="eastAsia" w:ascii="微软雅黑" w:hAnsi="微软雅黑" w:eastAsia="微软雅黑"/>
                <w:color w:val="444444"/>
                <w:sz w:val="21"/>
                <w:szCs w:val="21"/>
                <w:shd w:val="clear" w:color="auto" w:fill="FFFFFF"/>
                <w:lang w:val="en-US" w:eastAsia="zh-CN"/>
              </w:rPr>
              <w:t>超声探头更换</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25pt;width:4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pt;width:441.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6.5pt;width:458.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3.25pt;width:452.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pt;width:451.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rFonts w:hint="eastAsia" w:cs="宋体"/>
          <w:spacing w:val="1"/>
          <w:lang w:val="en-US" w:eastAsia="zh-CN"/>
        </w:rPr>
        <w:t xml:space="preserve">    </w:t>
      </w:r>
      <w:r>
        <w:rPr>
          <w:rFonts w:ascii="宋体" w:hAnsi="宋体" w:eastAsia="宋体" w:cs="Times New Roman"/>
          <w:b w:val="0"/>
          <w:bCs w:val="0"/>
          <w:spacing w:val="1"/>
          <w:sz w:val="24"/>
          <w:szCs w:val="24"/>
          <w:lang w:val="en-US" w:eastAsia="zh-CN" w:bidi="ar-SA"/>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left"/>
        <w:rPr>
          <w:lang w:eastAsia="zh-CN"/>
        </w:rPr>
      </w:pPr>
      <w:r>
        <w:rPr>
          <w:rFonts w:hint="eastAsia" w:ascii="宋体" w:hAnsi="宋体" w:eastAsia="宋体"/>
          <w:b/>
          <w:bCs/>
          <w:spacing w:val="5"/>
          <w:w w:val="95"/>
          <w:kern w:val="0"/>
          <w:sz w:val="24"/>
          <w:szCs w:val="24"/>
          <w:lang w:val="en-US" w:eastAsia="zh-CN" w:bidi="ar-SA"/>
        </w:rPr>
        <w:t>附件9：</w:t>
      </w:r>
    </w:p>
    <w:p>
      <w:pPr>
        <w:jc w:val="center"/>
        <w:rPr>
          <w:lang w:eastAsia="zh-CN"/>
        </w:rPr>
      </w:pPr>
    </w:p>
    <w:p>
      <w:pPr>
        <w:pStyle w:val="14"/>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9283487">
    <w:nsid w:val="65E1989F"/>
    <w:multiLevelType w:val="multilevel"/>
    <w:tmpl w:val="65E1989F"/>
    <w:lvl w:ilvl="0" w:tentative="1">
      <w:start w:val="1"/>
      <w:numFmt w:val="decimal"/>
      <w:suff w:val="nothing"/>
      <w:lvlText w:val="%1、"/>
      <w:lvlJc w:val="left"/>
      <w:pPr>
        <w:ind w:left="0" w:firstLine="0"/>
      </w:p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num w:numId="1">
    <w:abstractNumId w:val="89662785"/>
  </w:num>
  <w:num w:numId="2">
    <w:abstractNumId w:val="1700452681"/>
  </w:num>
  <w:num w:numId="3">
    <w:abstractNumId w:val="170928348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E0628"/>
    <w:rsid w:val="00406717"/>
    <w:rsid w:val="004243E6"/>
    <w:rsid w:val="004343F6"/>
    <w:rsid w:val="0043459D"/>
    <w:rsid w:val="004379E7"/>
    <w:rsid w:val="0047351A"/>
    <w:rsid w:val="00481CE5"/>
    <w:rsid w:val="00496BE1"/>
    <w:rsid w:val="004A67DA"/>
    <w:rsid w:val="004C401C"/>
    <w:rsid w:val="004D3701"/>
    <w:rsid w:val="004F52A8"/>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E3DD2"/>
    <w:rsid w:val="08B845A2"/>
    <w:rsid w:val="0B9B264D"/>
    <w:rsid w:val="2689380C"/>
    <w:rsid w:val="437F27E6"/>
    <w:rsid w:val="4B3E0902"/>
    <w:rsid w:val="79502D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3044</Words>
  <Characters>17354</Characters>
  <Lines>144</Lines>
  <Paragraphs>40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2024-03-01T09:07:10Z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